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 xml:space="preserve">, z </w:t>
      </w:r>
      <w:proofErr w:type="spellStart"/>
      <w:r w:rsidR="00F707F9">
        <w:rPr>
          <w:rFonts w:ascii="Arial" w:eastAsia="Arial" w:hAnsi="Arial"/>
          <w:sz w:val="22"/>
          <w:szCs w:val="22"/>
        </w:rPr>
        <w:t>późn</w:t>
      </w:r>
      <w:proofErr w:type="spellEnd"/>
      <w:r w:rsidR="00F707F9">
        <w:rPr>
          <w:rFonts w:ascii="Arial" w:eastAsia="Arial" w:hAnsi="Arial"/>
          <w:sz w:val="22"/>
          <w:szCs w:val="22"/>
        </w:rPr>
        <w:t>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 xml:space="preserve">spółki non profit </w:t>
      </w:r>
      <w:proofErr w:type="gramStart"/>
      <w:r w:rsidR="004422A8">
        <w:rPr>
          <w:rFonts w:ascii="Arial" w:hAnsi="Arial"/>
          <w:color w:val="000000"/>
          <w:sz w:val="22"/>
          <w:szCs w:val="22"/>
        </w:rPr>
        <w:t>tj. :</w:t>
      </w:r>
      <w:r>
        <w:rPr>
          <w:rFonts w:ascii="Arial" w:hAnsi="Arial"/>
          <w:color w:val="000000"/>
          <w:sz w:val="22"/>
          <w:szCs w:val="22"/>
        </w:rPr>
        <w:t>spółki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2549942" w14:textId="677CF090" w:rsidR="0095033C" w:rsidRDefault="0057373C" w:rsidP="00EA0C6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lastRenderedPageBreak/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</w:t>
      </w:r>
      <w:proofErr w:type="gramStart"/>
      <w:r w:rsidRPr="00DB1953">
        <w:rPr>
          <w:rFonts w:ascii="Arial" w:hAnsi="Arial"/>
          <w:sz w:val="22"/>
          <w:szCs w:val="22"/>
        </w:rPr>
        <w:t xml:space="preserve">sprawdzająca  </w:t>
      </w:r>
      <w:r w:rsidRPr="00DB1953">
        <w:rPr>
          <w:rFonts w:ascii="Arial" w:hAnsi="Arial" w:cs="Arial"/>
          <w:sz w:val="22"/>
          <w:szCs w:val="22"/>
        </w:rPr>
        <w:t>do</w:t>
      </w:r>
      <w:proofErr w:type="gramEnd"/>
      <w:r w:rsidRPr="00DB1953">
        <w:rPr>
          <w:rFonts w:ascii="Arial" w:hAnsi="Arial" w:cs="Arial"/>
          <w:sz w:val="22"/>
          <w:szCs w:val="22"/>
        </w:rPr>
        <w:t xml:space="preserve">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F25C304" w14:textId="77777777" w:rsidR="00EA0C69" w:rsidRPr="00EA0C69" w:rsidRDefault="00EA0C69" w:rsidP="00EA0C69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 xml:space="preserve">Spełnienie warunku przez PES (miejsce w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dokumencie  (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 xml:space="preserve">jakim)– strona, §, art.,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itp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ustawy z dnia 6 marca 2018 r. – Prawo przedsiębiorców (Dz. U. z 2021 r. poz. 162, z </w:t>
            </w:r>
            <w:proofErr w:type="spellStart"/>
            <w:r w:rsidRPr="00CB1B53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CB1B53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Status przedsiębiorstwa społecznego mogą posiadać podmiot ekonomii społecznej, o którym mowa w art. 2 pkt 5 lit. a oraz d–f, oraz jednostka tworząca podmiot ekonomii społecznej, jeżeli Skarb Państwa, jednostka 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celem działalności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PS  jest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Zatrudnienie co najmniej 3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osób  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Przy ustalaniu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poziomu  zatrudnienia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docs-internal-guid-7f5d9ba4-7fff-a6a1-3f"/>
            <w:bookmarkEnd w:id="1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zaświadczenie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ZUS,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kserokopie/skan 3 umów 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>dotyczy wyłącznie PS, który ma na celu reintegrację społeczną i zawodową osób zagrożonych wykluczeniem 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Osoba musi posiadać status osoby zagrożonej wykluczeniem społecznym wskazanej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  ustawie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bezrobotnej, o której mowa w art. 2 ust. 1 pkt 2 ustawy z dnia 20 kwietnia 2004 r. o promocji zatrudnienia i instytucjach rynku pracy (Dz. U. z 2022 r. 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bezrobotnej  długotrwale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w wieku do 30. roku życia oraz </w:t>
            </w:r>
            <w:proofErr w:type="gramStart"/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po  ukończeniu</w:t>
            </w:r>
            <w:proofErr w:type="gramEnd"/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niewykonujących innej pracy zarobkowej, o której mowa w art. 2 ust. 1 pkt 11 ustawy z 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osoby spełniającej kryteria, o których mowa w art. 8 ust. 1 pkt 1 i 2 ustawy z dnia 12 marca 2004 r. o pomocy społecznej (Dz. U. z 2021 r.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pozbawionej wolności, osoby opuszczającej zakład karny oraz pełnoletniej osoby opuszczającej zakład 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która uzyskała w Rzeczypospolitej Polskiej status uchodźcy lub ochronę 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Przez ogół osób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zatrudnionych  należy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Liczba osób zagrożonych wykluczeniem społecznym,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zatrudnionych  w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podmiocie  na podstawie umowy o pracę lub spółdzielczej umowy o pracę, w wymiarze co najmniej ½ etatu (proszę 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Kompetencje organu konsultacyjno-doradczego zostały 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przypadku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gdy spółdzielnia socjalna uzyskała status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odpis aktualny 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KRS,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udziela pożyczek osobom prawnym organizacyjnie z nim powiązanym ani swoim członkom, członkom organów tego podmiotu, osobom zatrudnionym w tym podmiocie ani osobom, z którymi osoby zatrudnione w tym podmiocie pozostają w związku 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przekazuje majątku na rzecz osób, o których mowa w pkt a), na zasadach innych niż w przypadku osób trzecich, w </w:t>
            </w:r>
            <w:proofErr w:type="gramStart"/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szczególności</w:t>
            </w:r>
            <w:proofErr w:type="gramEnd"/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dokonuje zakupu towarów lub usług od osób prawnych organizacyjnie z nim powiązanych lub podmiotów, w których uczestniczą osoby, o których mowa w pkt a), na zasadach innych niż w przypadku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uchwała o przeznaczeniu zysku / nadwyżki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bilansowej,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footerReference w:type="default" r:id="rId7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D9FC" w14:textId="77777777" w:rsidR="0005140F" w:rsidRDefault="0005140F">
      <w:r>
        <w:separator/>
      </w:r>
    </w:p>
  </w:endnote>
  <w:endnote w:type="continuationSeparator" w:id="0">
    <w:p w14:paraId="338D3E4E" w14:textId="77777777" w:rsidR="0005140F" w:rsidRDefault="0005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027C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E5E2" w14:textId="77777777" w:rsidR="0005140F" w:rsidRDefault="0005140F">
      <w:r>
        <w:separator/>
      </w:r>
    </w:p>
  </w:footnote>
  <w:footnote w:type="continuationSeparator" w:id="0">
    <w:p w14:paraId="1DAFEFAB" w14:textId="77777777" w:rsidR="0005140F" w:rsidRDefault="0005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9"/>
    <w:rsid w:val="00027C46"/>
    <w:rsid w:val="0003175F"/>
    <w:rsid w:val="0005140F"/>
    <w:rsid w:val="000562DD"/>
    <w:rsid w:val="00067299"/>
    <w:rsid w:val="000B74FC"/>
    <w:rsid w:val="000E2D3F"/>
    <w:rsid w:val="00153E52"/>
    <w:rsid w:val="0016428D"/>
    <w:rsid w:val="001E62A0"/>
    <w:rsid w:val="001F762E"/>
    <w:rsid w:val="00262288"/>
    <w:rsid w:val="003C0670"/>
    <w:rsid w:val="003D0C9E"/>
    <w:rsid w:val="004422A8"/>
    <w:rsid w:val="00492888"/>
    <w:rsid w:val="0057373C"/>
    <w:rsid w:val="006F6F8D"/>
    <w:rsid w:val="0076105B"/>
    <w:rsid w:val="007C11EA"/>
    <w:rsid w:val="008853F4"/>
    <w:rsid w:val="008A7789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CB1B53"/>
    <w:rsid w:val="00CC6E0F"/>
    <w:rsid w:val="00E70864"/>
    <w:rsid w:val="00EA0C69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Robert Semmler</cp:lastModifiedBy>
  <cp:revision>5</cp:revision>
  <cp:lastPrinted>2022-08-21T15:23:00Z</cp:lastPrinted>
  <dcterms:created xsi:type="dcterms:W3CDTF">2022-12-12T14:39:00Z</dcterms:created>
  <dcterms:modified xsi:type="dcterms:W3CDTF">2022-12-14T07:46:00Z</dcterms:modified>
  <dc:language>pl-PL</dc:language>
</cp:coreProperties>
</file>